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8.862/2026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90.043/2026</w:t>
      </w:r>
      <w:r>
        <w:rPr>
          <w:rFonts w:ascii="Arial" w:hAnsi="Arial" w:cs="Arial"/>
          <w:sz w:val="22"/>
          <w:szCs w:val="22"/>
        </w:rPr>
        <w:t>,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360" w:lineRule="auto"/>
        <w:ind w:left="0" w:firstLine="0"/>
        <w:jc w:val="both"/>
        <w:rPr>
          <w:rFonts w:ascii="Arial" w:hAnsi="Arial" w:cs="Arial"/>
          <w:bCs/>
          <w:iCs/>
        </w:rPr>
      </w:pPr>
      <w:r>
        <w:rPr>
          <w:rFonts w:ascii="Arial" w:hAnsi="Arial" w:cs="Arial"/>
          <w:bCs/>
          <w:iCs/>
        </w:rPr>
        <w:t xml:space="preserve"> O objeto do presente instrumento é a </w:t>
      </w:r>
      <w:r>
        <w:rPr>
          <w:rFonts w:ascii="Azo Sans Md" w:hAnsi="Azo Sans Md" w:eastAsia="Times New Roman" w:cs="Times New Roman"/>
          <w:b/>
          <w:bCs/>
          <w:sz w:val="22"/>
          <w:szCs w:val="22"/>
          <w:lang w:val="pt-BR" w:eastAsia="en-US" w:bidi="ar-SA"/>
        </w:rPr>
        <w:t>CONTRATAÇÃO DE EMPRESA PARA EMISSÃO E GESTÃO DO CARTÃO PRÊMIO SAEB – PRA, INSTITUÍDO PELA LEI MUNICIPAL Nº 5.122/2025</w:t>
      </w:r>
      <w:r>
        <w:rPr>
          <w:rFonts w:hint="default" w:ascii="Azo Sans Md" w:hAnsi="Azo Sans Md" w:eastAsia="Times New Roman" w:cs="Times New Roman"/>
          <w:b/>
          <w:bCs/>
          <w:sz w:val="22"/>
          <w:szCs w:val="22"/>
          <w:lang w:val="pt-BR" w:eastAsia="en-US" w:bidi="ar-SA"/>
        </w:rPr>
        <w:t>,</w:t>
      </w:r>
      <w:r>
        <w:rPr>
          <w:rFonts w:hint="default" w:ascii="Azo Sans Md" w:hAnsi="Azo Sans Md" w:eastAsia="Times New Roman" w:cs="Times New Roman"/>
          <w:b/>
          <w:bCs/>
          <w:sz w:val="22"/>
          <w:szCs w:val="22"/>
          <w:lang w:val="pt-BR" w:eastAsia="pt-BR" w:bidi="ar-SA"/>
        </w:rPr>
        <w:t xml:space="preserve"> </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bookmarkStart w:id="4" w:name="_GoBack"/>
      <w:bookmarkEnd w:id="4"/>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u w:val="single"/>
          <w:lang w:val="pt-BR"/>
        </w:rPr>
        <w:t>3.1 MODELO DE EXECUÇÃO DO OBJETO (arts. 6º, XXIII, alínea “e” e 40, §1º, inciso II,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3.1.1 A CONTRATADA deverá disponibilizar ao CONTRATANTE, de acordo com as especificações contidas neste Termo de Referência, os cartões e valores de carga;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3.1.2. A CONTRATADA deverá entregar todos os cartões BLOQUEADOS, COM SENHA INDIVIDUAL E EM ENVELOPE LACRADO, na quantidade solicitada pelo CONTRATANTE, por sua exclusiva conta e risco, no endereço descriminado abaixo:</w:t>
      </w:r>
    </w:p>
    <w:tbl>
      <w:tblPr>
        <w:tblStyle w:val="6"/>
        <w:tblW w:w="5000" w:type="pct"/>
        <w:tblInd w:w="28" w:type="dxa"/>
        <w:tblLayout w:type="fixed"/>
        <w:tblCellMar>
          <w:top w:w="28" w:type="dxa"/>
          <w:left w:w="28" w:type="dxa"/>
          <w:bottom w:w="28" w:type="dxa"/>
          <w:right w:w="28" w:type="dxa"/>
        </w:tblCellMar>
      </w:tblPr>
      <w:tblGrid>
        <w:gridCol w:w="3421"/>
        <w:gridCol w:w="5709"/>
      </w:tblGrid>
      <w:tr>
        <w:tblPrEx>
          <w:tblCellMar>
            <w:top w:w="28" w:type="dxa"/>
            <w:left w:w="28" w:type="dxa"/>
            <w:bottom w:w="28" w:type="dxa"/>
            <w:right w:w="28" w:type="dxa"/>
          </w:tblCellMar>
        </w:tblPrEx>
        <w:trPr>
          <w:trHeight w:val="650" w:hRule="atLeast"/>
        </w:trPr>
        <w:tc>
          <w:tcPr>
            <w:tcW w:w="3399" w:type="dxa"/>
            <w:tcBorders>
              <w:top w:val="single" w:color="000000" w:sz="2" w:space="0"/>
              <w:left w:val="single" w:color="000000" w:sz="2" w:space="0"/>
              <w:bottom w:val="single" w:color="000000" w:sz="2"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Nome do Requisitante:</w:t>
            </w:r>
          </w:p>
        </w:tc>
        <w:tc>
          <w:tcPr>
            <w:tcW w:w="5671" w:type="dxa"/>
            <w:tcBorders>
              <w:top w:val="single" w:color="000000" w:sz="2" w:space="0"/>
              <w:bottom w:val="single" w:color="000000" w:sz="2" w:space="0"/>
              <w:right w:val="single" w:color="000000" w:sz="2"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Subsecretaria Pedagógica da Secretaria de Educação</w:t>
            </w:r>
          </w:p>
        </w:tc>
      </w:tr>
      <w:tr>
        <w:tblPrEx>
          <w:tblCellMar>
            <w:top w:w="28" w:type="dxa"/>
            <w:left w:w="28" w:type="dxa"/>
            <w:bottom w:w="28" w:type="dxa"/>
            <w:right w:w="28" w:type="dxa"/>
          </w:tblCellMar>
        </w:tblPrEx>
        <w:tc>
          <w:tcPr>
            <w:tcW w:w="3399" w:type="dxa"/>
            <w:tcBorders>
              <w:left w:val="single" w:color="000000" w:sz="2" w:space="0"/>
              <w:bottom w:val="single" w:color="000000" w:sz="2"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Dados para contato:</w:t>
            </w:r>
          </w:p>
        </w:tc>
        <w:tc>
          <w:tcPr>
            <w:tcW w:w="5671" w:type="dxa"/>
            <w:tcBorders>
              <w:bottom w:val="single" w:color="000000" w:sz="2" w:space="0"/>
              <w:right w:val="single" w:color="000000" w:sz="2"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Setor de Orçamento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Telefone: (22) 2533-3009 ou 2533-2536</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E-mail: orcamento@sme.novafriburgo.rj.gov.br</w:t>
            </w:r>
          </w:p>
        </w:tc>
      </w:tr>
      <w:tr>
        <w:tblPrEx>
          <w:tblCellMar>
            <w:top w:w="28" w:type="dxa"/>
            <w:left w:w="28" w:type="dxa"/>
            <w:bottom w:w="28" w:type="dxa"/>
            <w:right w:w="28" w:type="dxa"/>
          </w:tblCellMar>
        </w:tblPrEx>
        <w:tc>
          <w:tcPr>
            <w:tcW w:w="3399" w:type="dxa"/>
            <w:tcBorders>
              <w:left w:val="single" w:color="000000" w:sz="2" w:space="0"/>
              <w:bottom w:val="single" w:color="000000" w:sz="2"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Endereço de entrega:</w:t>
            </w:r>
          </w:p>
        </w:tc>
        <w:tc>
          <w:tcPr>
            <w:tcW w:w="5671" w:type="dxa"/>
            <w:tcBorders>
              <w:bottom w:val="single" w:color="000000" w:sz="2" w:space="0"/>
              <w:right w:val="single" w:color="000000" w:sz="2"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Rua: Av. Alberto Braune, n.º 224, 3º andar, Centro, Nova Friburgo, RJ, CEP 28.613-001</w:t>
            </w:r>
          </w:p>
        </w:tc>
      </w:tr>
      <w:tr>
        <w:tblPrEx>
          <w:tblCellMar>
            <w:top w:w="28" w:type="dxa"/>
            <w:left w:w="28" w:type="dxa"/>
            <w:bottom w:w="28" w:type="dxa"/>
            <w:right w:w="28" w:type="dxa"/>
          </w:tblCellMar>
        </w:tblPrEx>
        <w:trPr>
          <w:trHeight w:val="863" w:hRule="atLeast"/>
        </w:trPr>
        <w:tc>
          <w:tcPr>
            <w:tcW w:w="3399" w:type="dxa"/>
            <w:tcBorders>
              <w:left w:val="single" w:color="000000" w:sz="2" w:space="0"/>
              <w:bottom w:val="single" w:color="000000" w:sz="2"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Horário de entrega e descarga:</w:t>
            </w:r>
          </w:p>
        </w:tc>
        <w:tc>
          <w:tcPr>
            <w:tcW w:w="5671" w:type="dxa"/>
            <w:tcBorders>
              <w:bottom w:val="single" w:color="000000" w:sz="2" w:space="0"/>
              <w:right w:val="single" w:color="000000" w:sz="2"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De Segunda a Sexta-feira – das 9h00 às 16h00</w:t>
            </w:r>
          </w:p>
        </w:tc>
      </w:tr>
    </w:tbl>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3.1.3. A data máxima para entrega dos cartões no endereço citado no item 6.2 será em até 15 (quinze) dias corridos, após o fornecimento da relação de beneficiários pelo CONTRATANTE;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3.1.3.1. A CONTRATANTE disponibilizará a relação dos beneficiários somente após resultado definitivo das provas e definição dos contemplados baseado nos critérios estabelecidos na Lei 5.122/2025;</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 xml:space="preserve">3.1.4. A entrega dos cartões deverá ser realizada pela CONTRATADA de forma única, contendo nos cartões o nome do beneficiário, o nome do município e a data de validade, separados por Unidade de origem do beneficiário e em ordem alfabética.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3.1.4.1. Os cartões direcionados aos alunos menores de idade, deverão constar, além do nome e CPF do contemplado, dados do responsável cadastrado no E-cidade, que serão enviados junto com a relação;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3.1.5. Após a entrega dos cartões, o CONTRATANTE deverá solicitar formalmente à CONTRATADA a realização da carga de créditos nos respectivos cartões, informando a data prevista para a entrega aos contemplados. A CONTRATADA deverá efetuar a disponibilização dos créditos no prazo máximo de até 3 (três) dias corridos, contados do recebimento da solicitação formal;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3.1.6. A CONTRATADA deverá disponibilizar sistema de acompanhamento e controle de lançamento dos créditos e débitos de forma individualizada e global, até a data estipulada no item 6.5, permitindo a geração e impressão de relatórios para conferência e resolução de problemas diversos, bem como possibilitar a consulta pelos respectivos usuários, por meio de emissão de extrato (quando solicitado pelo usuário ou pelo contratante);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3.1.7. Após disponibilização do valor de carga, dispostas nos itens 6.5, deverá a CONTRATADA emitir fatura referente apenas ao crédito realizado nos cartões solicitados;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3.1.8. O Cartão deverá possuir validade para utilização pelo beneficiário de 90 (noventa) dias, contados a partir do crédito disponibilizado, cujo valor será de R$ 700,00 (setecentos) reais;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3.1.9. O saldo resultante dos créditos não utilizados, devidamente descontados da taxa administrativa aplicada pelo CONTRATANTE, deverá ser depositado em conta-corrente de titularidade do Município de Nova Friburgo;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3.1.10. O prazo para depósito na conta do Município de Nova Friburgo, conforme disposto no item 6.10, será de 05 (cinco) dias úteis, após a análise e emissão de parecer da fiscalização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3.1.11. O CONTRATANTE deverá enviar para CONTRATADA as informações do item 6.3 em formato xls, doc, pdf ou similares;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3.1.12. A informação necessária e indispensável à correta utilização, estabelecida em regulamento ou norma legal aplicável, deve estar devidamente indicada no cartão de uso pessoal, bem como deverá ser fornecida ao setor designado para fiscalização do objeto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3.1.13. Os cartões emitidos deverão permitir a habilitação de senha individual, de forma a garantir privacidade e segurança na utilização e evitar prejuízos em caso de extravio, furto ou roubo;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3.1.14. Após o recebimento dos cartões e mediante conferência realizada pela fiscalização, caso haja alguma unidade em desacordo com as especificações no Termo de Referência, será solicitado a substituição dos mesmos para fins de regularização, devendo ser substituídos no prazo de 03 (três)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eastAsia="en-US"/>
        </w:rPr>
        <w:t>3.1.15. Caso não seja possível a entrega na data assinalada, a empresa deverá comunicar as razões respectivas com pelo menos 5 (cinco) dias de antecedência para que qualquer pleito de prorrogação de prazo seja analisado, ressalvadas situações de caso fortuito e força maior</w:t>
      </w:r>
      <w:r>
        <w:rPr>
          <w:rFonts w:hint="default" w:ascii="Arial" w:hAnsi="Arial" w:cs="Arial"/>
          <w:bCs/>
          <w:iCs/>
          <w:u w:val="single"/>
          <w:lang w:val="pt-BR" w:eastAsia="en-US"/>
        </w:rPr>
        <w:t>;</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u w:val="single"/>
          <w:lang w:val="pt-BR"/>
        </w:rPr>
        <w:t>3.2 MODELO DE GESTÃO DO CONTRATO (art. 6º, XXIII, alínea “f”, da Lei nº 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3.2.3.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3.2.3.1.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3.2.3.2.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3.2.5. As comunicações entre o órgão ou entidade e a contratada devem ser realizadas por escrito sempre que o ato exigir tal formalidade, admitindo-se, excepcionalmente, o uso de mensagem eletrônica para esse fim (IN 5/2017, art. 44,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3.2.6. O órgão ou entidade poderá convocar representante da empresa para adoção de providências que devam ser cumpridas de imediato (IN 5/2017, art. 44, 31º);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3.2.7.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3.2.8.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 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3.2.9. Para o acompanhamento, gestão e fiscalização da execução do presente contrato, serão designados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3.2.10.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3.2.11.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3.2.12.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
          <w:bCs w:val="0"/>
          <w:iCs/>
          <w:color w:val="auto"/>
        </w:rPr>
      </w:pPr>
      <w:r>
        <w:rPr>
          <w:rFonts w:hint="default" w:ascii="Arial" w:hAnsi="Arial" w:cs="Arial"/>
          <w:bCs/>
          <w:iCs/>
          <w:color w:val="auto"/>
          <w:lang w:val="en-US" w:eastAsia="pt-BR"/>
        </w:rPr>
        <w:t xml:space="preserve"> </w:t>
      </w:r>
      <w:r>
        <w:rPr>
          <w:rFonts w:ascii="Arial" w:hAnsi="Arial" w:cs="Arial"/>
          <w:bCs/>
          <w:iCs/>
          <w:color w:val="auto"/>
          <w:lang w:val="pt-BR" w:eastAsia="en-US"/>
        </w:rPr>
        <w:t xml:space="preserve">A (s) Nota (s) Fiscal (is) deverá (ão) ser emitida em nome de: </w:t>
      </w:r>
      <w:r>
        <w:rPr>
          <w:rFonts w:ascii="Arial" w:hAnsi="Arial" w:cs="Arial"/>
          <w:b/>
          <w:bCs w:val="0"/>
          <w:iCs/>
          <w:color w:val="auto"/>
          <w:lang w:val="pt-BR" w:eastAsia="en-US"/>
        </w:rPr>
        <w:t>MUNICÍPIO DE NOVA FRIBURGO, CNPJ: 28.606.630/0001-23; ENDEREÇO: AVENIDA ALBERTO BRAUNE, 225, CENTRO, NOVA FRIBURGO - RJ, CEP: 28613-001.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lang w:val="pt-BR" w:eastAsia="en-US"/>
        </w:rPr>
        <w:t xml:space="preserve"> Todos os cartões deverão ser entregues BLOQUEADOS, COM SENHA INDIVIDUAL E EM ENVELOPE LACRADO, na quantidade solicitada pelo CONTRATANTE, na Subsecretaria Pedagógica da Secretaria de Educação, localizada no endereço Av. Alberto Braune, n.º 224, 3º andar, Centro, Nova Friburgo, RJ, CEP 28.613-001, respeitando os dias e horário de entrega, de Segunda a Sexta-feira – das 09h00 às 16h00;</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u w:val="single"/>
        </w:rPr>
      </w:pPr>
      <w:r>
        <w:rPr>
          <w:rFonts w:ascii="Arial" w:hAnsi="Arial" w:cs="Arial"/>
          <w:bCs/>
          <w:iCs/>
          <w:color w:val="auto"/>
          <w:u w:val="single"/>
          <w:lang w:val="pt-BR" w:eastAsia="en-US"/>
        </w:rPr>
        <w:t>Da liquidação da despesa:</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6.3.1</w:t>
      </w:r>
      <w:r>
        <w:rPr>
          <w:rFonts w:ascii="Arial" w:hAnsi="Arial" w:cs="Arial"/>
          <w:bCs/>
          <w:iCs/>
          <w:color w:val="auto"/>
          <w:lang w:val="pt-BR" w:eastAsia="en-US"/>
        </w:rPr>
        <w:t xml:space="preserve"> A liquidação será realizada pela Secretaria Municipal de Fazenda, a partir do cumprimento das obrigações elencadas n</w:t>
      </w:r>
      <w:r>
        <w:rPr>
          <w:rFonts w:hint="default" w:ascii="Arial" w:hAnsi="Arial" w:cs="Arial"/>
          <w:bCs/>
          <w:iCs/>
          <w:color w:val="auto"/>
          <w:lang w:val="pt-BR" w:eastAsia="en-US"/>
        </w:rPr>
        <w:t>o</w:t>
      </w:r>
      <w:r>
        <w:rPr>
          <w:rFonts w:ascii="Arial" w:hAnsi="Arial" w:cs="Arial"/>
          <w:bCs/>
          <w:iCs/>
          <w:color w:val="auto"/>
          <w:lang w:val="pt-BR" w:eastAsia="en-US"/>
        </w:rPr>
        <w:t xml:space="preserve"> Termo de Referência, em obediência ao Decreto nº 2493, de 07 de novembro de 2023 e o Decreto nº 3116 de 18 de setembro de 2024, </w:t>
      </w:r>
      <w:r>
        <w:rPr>
          <w:rFonts w:ascii="Arial" w:hAnsi="Arial" w:cs="Arial"/>
          <w:bCs/>
          <w:iCs/>
          <w:color w:val="auto"/>
        </w:rPr>
        <w:fldChar w:fldCharType="begin"/>
      </w:r>
      <w:r>
        <w:rPr>
          <w:rFonts w:ascii="Arial" w:hAnsi="Arial" w:cs="Arial"/>
          <w:bCs/>
          <w:iCs/>
          <w:color w:val="auto"/>
        </w:rPr>
        <w:instrText xml:space="preserve"> HYPERLINK "https://pmnf.rj.gov.br/paginas-centralizadas/9_64_Legislacoes.html" \h </w:instrText>
      </w:r>
      <w:r>
        <w:rPr>
          <w:rFonts w:ascii="Arial" w:hAnsi="Arial" w:cs="Arial"/>
          <w:bCs/>
          <w:iCs/>
          <w:color w:val="auto"/>
        </w:rPr>
        <w:fldChar w:fldCharType="separate"/>
      </w:r>
      <w:r>
        <w:rPr>
          <w:rFonts w:ascii="Arial" w:hAnsi="Arial" w:cs="Arial"/>
          <w:bCs/>
          <w:iCs/>
          <w:color w:val="auto"/>
          <w:lang w:val="pt-BR" w:eastAsia="en-US"/>
        </w:rPr>
        <w:t>https://pmnf.rj.gov.br/paginas-centralizadas/9_64_Legislacoes.html</w:t>
      </w:r>
      <w:r>
        <w:rPr>
          <w:rFonts w:ascii="Arial" w:hAnsi="Arial" w:cs="Arial"/>
          <w:bCs/>
          <w:iCs/>
          <w:color w:val="auto"/>
          <w:lang w:val="pt-BR" w:eastAsia="en-US"/>
        </w:rPr>
        <w:fldChar w:fldCharType="end"/>
      </w:r>
      <w:r>
        <w:rPr>
          <w:rFonts w:ascii="Arial" w:hAnsi="Arial" w:cs="Arial"/>
          <w:bCs/>
          <w:iCs/>
          <w:color w:val="auto"/>
        </w:rPr>
        <w:fldChar w:fldCharType="begin"/>
      </w:r>
      <w:r>
        <w:rPr>
          <w:rFonts w:ascii="Arial" w:hAnsi="Arial" w:cs="Arial"/>
          <w:bCs/>
          <w:iCs/>
          <w:color w:val="auto"/>
        </w:rPr>
        <w:instrText xml:space="preserve"> HYPERLINK "https://pmnf.rj.gov.br/paginas-centralizadas/9_64_Legislacoes.html." \h </w:instrText>
      </w:r>
      <w:r>
        <w:rPr>
          <w:rFonts w:ascii="Arial" w:hAnsi="Arial" w:cs="Arial"/>
          <w:bCs/>
          <w:iCs/>
          <w:color w:val="auto"/>
        </w:rPr>
        <w:fldChar w:fldCharType="separate"/>
      </w:r>
      <w:r>
        <w:rPr>
          <w:rFonts w:ascii="Arial" w:hAnsi="Arial" w:cs="Arial"/>
          <w:bCs/>
          <w:iCs/>
          <w:color w:val="auto"/>
          <w:lang w:val="pt-BR" w:eastAsia="en-US"/>
        </w:rPr>
        <w:t>.</w:t>
      </w:r>
      <w:r>
        <w:rPr>
          <w:rFonts w:ascii="Arial" w:hAnsi="Arial" w:cs="Arial"/>
          <w:bCs/>
          <w:iCs/>
          <w:color w:val="auto"/>
          <w:lang w:val="pt-BR" w:eastAsia="en-US"/>
        </w:rPr>
        <w:fldChar w:fldCharType="end"/>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val="pt-BR" w:eastAsia="en-US"/>
        </w:rPr>
        <w:t xml:space="preserve">.3.2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u w:val="single"/>
        </w:rPr>
      </w:pPr>
      <w:r>
        <w:rPr>
          <w:rFonts w:ascii="Arial" w:hAnsi="Arial" w:cs="Arial"/>
          <w:bCs/>
          <w:iCs/>
          <w:color w:val="auto"/>
          <w:u w:val="single"/>
          <w:lang w:val="pt-BR" w:eastAsia="en-US"/>
        </w:rPr>
        <w:t xml:space="preserve"> Do pagamento da despesa:</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val="pt-BR" w:eastAsia="en-US"/>
        </w:rPr>
        <w:t>.4.1 O pagamento será efetuado conforme estabelecido no Decreto Municipal nº 2493, de 07 de novembro de 2023, desde que as certidões listadas abaixo estejam dentro da validade:</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lang w:val="pt-BR" w:eastAsia="en-US"/>
        </w:rPr>
        <w:t xml:space="preserve"> </w:t>
      </w:r>
      <w:r>
        <w:rPr>
          <w:rFonts w:hint="default" w:ascii="Arial" w:hAnsi="Arial" w:cs="Arial"/>
          <w:bCs/>
          <w:iCs/>
          <w:color w:val="auto"/>
          <w:lang w:val="pt-BR" w:eastAsia="en-US"/>
        </w:rPr>
        <w:t>-</w:t>
      </w:r>
      <w:r>
        <w:rPr>
          <w:rFonts w:ascii="Arial" w:hAnsi="Arial" w:cs="Arial"/>
          <w:bCs/>
          <w:iCs/>
          <w:color w:val="auto"/>
          <w:lang w:val="pt-BR" w:eastAsia="en-US"/>
        </w:rPr>
        <w:t>Negativa de Débitos Trabalhistas;</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w:t>
      </w:r>
      <w:r>
        <w:rPr>
          <w:rFonts w:ascii="Arial" w:hAnsi="Arial" w:cs="Arial"/>
          <w:bCs/>
          <w:iCs/>
          <w:color w:val="auto"/>
          <w:lang w:val="pt-BR" w:eastAsia="en-US"/>
        </w:rPr>
        <w:t xml:space="preserve"> Fazenda Federal – abrange as contribuições sociais;</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w:t>
      </w:r>
      <w:r>
        <w:rPr>
          <w:rFonts w:ascii="Arial" w:hAnsi="Arial" w:cs="Arial"/>
          <w:bCs/>
          <w:iCs/>
          <w:color w:val="auto"/>
          <w:lang w:val="pt-BR" w:eastAsia="en-US"/>
        </w:rPr>
        <w:t>FGTS;</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w:t>
      </w:r>
      <w:r>
        <w:rPr>
          <w:rFonts w:ascii="Arial" w:hAnsi="Arial" w:cs="Arial"/>
          <w:bCs/>
          <w:iCs/>
          <w:color w:val="auto"/>
          <w:lang w:val="pt-BR" w:eastAsia="en-US"/>
        </w:rPr>
        <w:t xml:space="preserve"> PGE – referente à Dívida Ativa Estadual;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w:t>
      </w:r>
      <w:r>
        <w:rPr>
          <w:rFonts w:ascii="Arial" w:hAnsi="Arial" w:cs="Arial"/>
          <w:bCs/>
          <w:iCs/>
          <w:color w:val="auto"/>
          <w:lang w:val="pt-BR" w:eastAsia="en-US"/>
        </w:rPr>
        <w:t>Municipal – referente ao ISS e Dívida Ativa;</w:t>
      </w:r>
    </w:p>
    <w:p>
      <w:pPr>
        <w:pStyle w:val="19"/>
        <w:widowControl/>
        <w:numPr>
          <w:ilvl w:val="0"/>
          <w:numId w:val="0"/>
        </w:numPr>
        <w:tabs>
          <w:tab w:val="left" w:pos="426"/>
        </w:tabs>
        <w:autoSpaceDE/>
        <w:autoSpaceDN/>
        <w:spacing w:before="120" w:after="120" w:line="276" w:lineRule="auto"/>
        <w:jc w:val="both"/>
        <w:rPr>
          <w:rFonts w:ascii="Arial" w:hAnsi="Arial" w:cs="Arial"/>
          <w:bCs/>
          <w:iCs/>
          <w:color w:val="auto"/>
          <w:lang w:val="pt-BR" w:eastAsia="en-US"/>
        </w:rPr>
      </w:pPr>
      <w:r>
        <w:rPr>
          <w:rFonts w:hint="default" w:ascii="Arial" w:hAnsi="Arial" w:cs="Arial"/>
          <w:bCs/>
          <w:iCs/>
          <w:color w:val="auto"/>
          <w:lang w:val="pt-BR" w:eastAsia="en-US"/>
        </w:rPr>
        <w:t>-</w:t>
      </w:r>
      <w:r>
        <w:rPr>
          <w:rFonts w:ascii="Arial" w:hAnsi="Arial" w:cs="Arial"/>
          <w:bCs/>
          <w:iCs/>
          <w:color w:val="auto"/>
          <w:lang w:val="pt-BR" w:eastAsia="en-US"/>
        </w:rPr>
        <w:t>Estadual CND – referente ao ICMS;</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val="pt-BR" w:eastAsia="en-US"/>
        </w:rPr>
        <w:t xml:space="preserve">.4.2 A Nota Fiscal deverá conter a identificação do banco, número da agência e da conta corrente, para que possibilite o contratante efetuar o pagamento do valor devido;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val="pt-BR" w:eastAsia="en-US"/>
        </w:rPr>
        <w:t>.4.3 Na ocorrência de rejeição da(s) Nota(s) Fiscal (s), motivada por erro ou incorreções, o prazo para pagamento estipulado acima passará a ser contado a partir da data de sua reapresentação;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val="pt-BR" w:eastAsia="en-US"/>
        </w:rPr>
        <w:t>.4.4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val="pt-BR" w:eastAsia="en-US"/>
        </w:rPr>
        <w:t xml:space="preserve">.4.5. O pagamento será efetuado pelo Município de Nova Friburgo mediante crédito em conta-corrente da contratada, até o 30º (trigésimo) dia corrido, a contar da atestação da Nota Fiscal apresentada pela contratada, desde que cumprida as formalidades legais e contratuais previstas, e de acordo com o Decreto Municipal nº 2493, de 07 de novembro de 2023. </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19"/>
        <w:numPr>
          <w:ilvl w:val="1"/>
          <w:numId w:val="3"/>
        </w:numPr>
        <w:tabs>
          <w:tab w:val="left" w:pos="426"/>
        </w:tabs>
        <w:ind w:left="0" w:firstLine="0"/>
        <w:jc w:val="both"/>
        <w:rPr>
          <w:rFonts w:ascii="Arial" w:hAnsi="Arial" w:cs="Arial"/>
        </w:rPr>
      </w:pPr>
      <w:r>
        <w:rPr>
          <w:rFonts w:ascii="Arial" w:hAnsi="Arial" w:cs="Arial"/>
          <w:lang w:val="pt-BR" w:eastAsia="en-US"/>
        </w:rPr>
        <w:t>As despesas decorrentes da presente contratação correrão à conta de recursos específicos consignados no Orçamento do Município, na forma abaixo:</w:t>
      </w:r>
    </w:p>
    <w:tbl>
      <w:tblPr>
        <w:tblStyle w:val="17"/>
        <w:tblW w:w="9233"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8"/>
        <w:gridCol w:w="2901"/>
        <w:gridCol w:w="1867"/>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648" w:type="dxa"/>
            <w:tcBorders>
              <w:right w:val="nil"/>
            </w:tcBorders>
            <w:shd w:val="clear" w:color="auto" w:fill="auto"/>
          </w:tcPr>
          <w:p>
            <w:pPr>
              <w:pStyle w:val="19"/>
              <w:numPr>
                <w:ilvl w:val="0"/>
                <w:numId w:val="0"/>
              </w:numPr>
              <w:tabs>
                <w:tab w:val="left" w:pos="426"/>
              </w:tabs>
              <w:ind w:leftChars="0"/>
              <w:jc w:val="center"/>
              <w:rPr>
                <w:rFonts w:ascii="Arial" w:hAnsi="Arial" w:cs="Arial"/>
                <w:b/>
                <w:bCs/>
              </w:rPr>
            </w:pPr>
            <w:r>
              <w:rPr>
                <w:rFonts w:ascii="Arial" w:hAnsi="Arial" w:cs="Arial"/>
                <w:b/>
                <w:bCs/>
                <w:lang w:val="pt-BR"/>
              </w:rPr>
              <w:t>Órgão/Unidade Orçamentária</w:t>
            </w:r>
          </w:p>
        </w:tc>
        <w:tc>
          <w:tcPr>
            <w:tcW w:w="2901" w:type="dxa"/>
            <w:tcBorders>
              <w:right w:val="nil"/>
            </w:tcBorders>
            <w:shd w:val="clear" w:color="auto" w:fill="auto"/>
          </w:tcPr>
          <w:p>
            <w:pPr>
              <w:pStyle w:val="19"/>
              <w:numPr>
                <w:ilvl w:val="0"/>
                <w:numId w:val="0"/>
              </w:numPr>
              <w:tabs>
                <w:tab w:val="left" w:pos="426"/>
              </w:tabs>
              <w:ind w:leftChars="0"/>
              <w:jc w:val="center"/>
              <w:rPr>
                <w:rFonts w:ascii="Arial" w:hAnsi="Arial" w:cs="Arial"/>
                <w:b/>
                <w:bCs/>
              </w:rPr>
            </w:pPr>
            <w:r>
              <w:rPr>
                <w:rFonts w:ascii="Arial" w:hAnsi="Arial" w:cs="Arial"/>
                <w:b/>
                <w:bCs/>
                <w:lang w:val="pt-BR"/>
              </w:rPr>
              <w:t>Programa de Trabalho</w:t>
            </w:r>
          </w:p>
        </w:tc>
        <w:tc>
          <w:tcPr>
            <w:tcW w:w="1867" w:type="dxa"/>
            <w:tcBorders>
              <w:right w:val="nil"/>
            </w:tcBorders>
            <w:shd w:val="clear" w:color="auto" w:fill="auto"/>
          </w:tcPr>
          <w:p>
            <w:pPr>
              <w:pStyle w:val="19"/>
              <w:numPr>
                <w:ilvl w:val="0"/>
                <w:numId w:val="0"/>
              </w:numPr>
              <w:tabs>
                <w:tab w:val="left" w:pos="426"/>
              </w:tabs>
              <w:ind w:leftChars="0"/>
              <w:jc w:val="center"/>
              <w:rPr>
                <w:rFonts w:ascii="Arial" w:hAnsi="Arial" w:cs="Arial"/>
                <w:b/>
                <w:bCs/>
                <w:lang w:val="pt-BR" w:eastAsia="pt-BR"/>
              </w:rPr>
            </w:pPr>
            <w:r>
              <w:rPr>
                <w:rFonts w:ascii="Arial" w:hAnsi="Arial" w:cs="Arial"/>
                <w:b/>
                <w:bCs/>
                <w:lang w:val="pt-BR" w:eastAsia="pt-BR"/>
              </w:rPr>
              <w:t>Fonte de Recursos</w:t>
            </w:r>
          </w:p>
        </w:tc>
        <w:tc>
          <w:tcPr>
            <w:tcW w:w="1816" w:type="dxa"/>
            <w:shd w:val="clear" w:color="auto" w:fill="auto"/>
          </w:tcPr>
          <w:p>
            <w:pPr>
              <w:pStyle w:val="19"/>
              <w:numPr>
                <w:ilvl w:val="0"/>
                <w:numId w:val="0"/>
              </w:numPr>
              <w:tabs>
                <w:tab w:val="left" w:pos="426"/>
              </w:tabs>
              <w:ind w:leftChars="0"/>
              <w:jc w:val="center"/>
              <w:rPr>
                <w:rFonts w:ascii="Arial" w:hAnsi="Arial" w:cs="Arial"/>
                <w:b/>
                <w:bCs/>
                <w:lang w:val="pt-BR" w:eastAsia="pt-BR"/>
              </w:rPr>
            </w:pPr>
            <w:r>
              <w:rPr>
                <w:rFonts w:ascii="Arial" w:hAnsi="Arial" w:cs="Arial"/>
                <w:b/>
                <w:bCs/>
                <w:lang w:val="pt-BR" w:eastAsia="pt-BR"/>
              </w:rPr>
              <w:t>Natureza da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2648" w:type="dxa"/>
            <w:shd w:val="clear" w:color="auto" w:fill="auto"/>
            <w:vAlign w:val="center"/>
          </w:tcPr>
          <w:p>
            <w:pPr>
              <w:pStyle w:val="19"/>
              <w:numPr>
                <w:ilvl w:val="0"/>
                <w:numId w:val="0"/>
              </w:numPr>
              <w:tabs>
                <w:tab w:val="left" w:pos="426"/>
              </w:tabs>
              <w:ind w:leftChars="0"/>
              <w:jc w:val="center"/>
              <w:rPr>
                <w:rFonts w:ascii="Arial" w:hAnsi="Arial" w:cs="Arial"/>
              </w:rPr>
            </w:pPr>
            <w:r>
              <w:rPr>
                <w:rFonts w:ascii="Arial" w:hAnsi="Arial" w:cs="Arial"/>
                <w:lang w:val="pt-BR"/>
              </w:rPr>
              <w:t>Secretaria de Educação</w:t>
            </w:r>
          </w:p>
        </w:tc>
        <w:tc>
          <w:tcPr>
            <w:tcW w:w="2901" w:type="dxa"/>
            <w:shd w:val="clear" w:color="auto" w:fill="auto"/>
            <w:vAlign w:val="center"/>
          </w:tcPr>
          <w:p>
            <w:pPr>
              <w:pStyle w:val="19"/>
              <w:numPr>
                <w:ilvl w:val="0"/>
                <w:numId w:val="0"/>
              </w:numPr>
              <w:tabs>
                <w:tab w:val="left" w:pos="426"/>
              </w:tabs>
              <w:ind w:leftChars="0"/>
              <w:jc w:val="center"/>
              <w:rPr>
                <w:rFonts w:ascii="Arial" w:hAnsi="Arial" w:cs="Arial"/>
              </w:rPr>
            </w:pPr>
            <w:r>
              <w:rPr>
                <w:rFonts w:ascii="Arial" w:hAnsi="Arial" w:cs="Arial"/>
              </w:rPr>
              <w:t>07 002 12 361 1053 2.330</w:t>
            </w:r>
          </w:p>
        </w:tc>
        <w:tc>
          <w:tcPr>
            <w:tcW w:w="1867" w:type="dxa"/>
            <w:shd w:val="clear" w:color="auto" w:fill="auto"/>
            <w:vAlign w:val="center"/>
          </w:tcPr>
          <w:p>
            <w:pPr>
              <w:pStyle w:val="19"/>
              <w:numPr>
                <w:ilvl w:val="0"/>
                <w:numId w:val="0"/>
              </w:numPr>
              <w:tabs>
                <w:tab w:val="left" w:pos="426"/>
              </w:tabs>
              <w:ind w:leftChars="0"/>
              <w:jc w:val="center"/>
              <w:rPr>
                <w:rFonts w:ascii="Arial" w:hAnsi="Arial" w:cs="Arial"/>
              </w:rPr>
            </w:pPr>
            <w:r>
              <w:rPr>
                <w:rFonts w:ascii="Arial" w:hAnsi="Arial" w:cs="Arial"/>
                <w:lang w:val="pt-BR"/>
              </w:rPr>
              <w:t>150010010000</w:t>
            </w:r>
          </w:p>
        </w:tc>
        <w:tc>
          <w:tcPr>
            <w:tcW w:w="1816" w:type="dxa"/>
            <w:shd w:val="clear" w:color="auto" w:fill="auto"/>
            <w:vAlign w:val="center"/>
          </w:tcPr>
          <w:p>
            <w:pPr>
              <w:pStyle w:val="19"/>
              <w:numPr>
                <w:ilvl w:val="0"/>
                <w:numId w:val="0"/>
              </w:numPr>
              <w:tabs>
                <w:tab w:val="left" w:pos="426"/>
              </w:tabs>
              <w:ind w:leftChars="0"/>
              <w:jc w:val="center"/>
              <w:rPr>
                <w:rFonts w:ascii="Arial" w:hAnsi="Arial" w:cs="Arial"/>
              </w:rPr>
            </w:pPr>
            <w:r>
              <w:rPr>
                <w:rFonts w:ascii="Arial" w:hAnsi="Arial" w:cs="Arial"/>
                <w:lang w:val="pt-BR"/>
              </w:rPr>
              <w:t>33.90.39-99</w:t>
            </w:r>
          </w:p>
        </w:tc>
      </w:tr>
    </w:tbl>
    <w:p>
      <w:pPr>
        <w:pStyle w:val="19"/>
        <w:numPr>
          <w:ilvl w:val="0"/>
          <w:numId w:val="0"/>
        </w:numPr>
        <w:tabs>
          <w:tab w:val="left" w:pos="426"/>
        </w:tabs>
        <w:ind w:leftChars="0"/>
        <w:jc w:val="both"/>
        <w:rPr>
          <w:rFonts w:ascii="Arial" w:hAnsi="Arial" w:cs="Arial"/>
        </w:rPr>
      </w:pPr>
      <w:r>
        <w:rPr>
          <w:rFonts w:ascii="Arial" w:hAnsi="Arial" w:cs="Arial"/>
          <w:lang w:val="pt-BR" w:eastAsia="en-US"/>
        </w:rPr>
        <w:t>13.2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0"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0" w:leftChars="0" w:firstLine="0"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39130" cy="1163320"/>
          <wp:effectExtent l="0" t="0" r="0" b="0"/>
          <wp:docPr id="1" name="Imagem 1" descr="Secretaria de Educ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Educação"/>
                  <pic:cNvPicPr>
                    <a:picLocks noChangeAspect="1"/>
                  </pic:cNvPicPr>
                </pic:nvPicPr>
                <pic:blipFill>
                  <a:blip r:embed="rId1"/>
                  <a:stretch>
                    <a:fillRect/>
                  </a:stretch>
                </pic:blipFill>
                <pic:spPr>
                  <a:xfrm>
                    <a:off x="0" y="0"/>
                    <a:ext cx="5739130" cy="1163320"/>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936ECB"/>
    <w:rsid w:val="0AB873A9"/>
    <w:rsid w:val="0F270784"/>
    <w:rsid w:val="10B24747"/>
    <w:rsid w:val="11CC2ACE"/>
    <w:rsid w:val="1AF72D93"/>
    <w:rsid w:val="1F9A1031"/>
    <w:rsid w:val="1FD12E07"/>
    <w:rsid w:val="220D0B8D"/>
    <w:rsid w:val="23740467"/>
    <w:rsid w:val="24C826AA"/>
    <w:rsid w:val="311821BD"/>
    <w:rsid w:val="3A443F96"/>
    <w:rsid w:val="3B546C28"/>
    <w:rsid w:val="3C4D19A5"/>
    <w:rsid w:val="3C9967A2"/>
    <w:rsid w:val="3D164314"/>
    <w:rsid w:val="3D361311"/>
    <w:rsid w:val="4B756E33"/>
    <w:rsid w:val="4CF119E7"/>
    <w:rsid w:val="4E3F0C2F"/>
    <w:rsid w:val="4FEB0D88"/>
    <w:rsid w:val="501F24D5"/>
    <w:rsid w:val="50910212"/>
    <w:rsid w:val="53181EED"/>
    <w:rsid w:val="5C237373"/>
    <w:rsid w:val="5C8A768A"/>
    <w:rsid w:val="623C6820"/>
    <w:rsid w:val="626E3E7D"/>
    <w:rsid w:val="64E24AC4"/>
    <w:rsid w:val="655965EF"/>
    <w:rsid w:val="66F52944"/>
    <w:rsid w:val="68532C20"/>
    <w:rsid w:val="689E4723"/>
    <w:rsid w:val="6F477D2B"/>
    <w:rsid w:val="70F67A34"/>
    <w:rsid w:val="72772CBF"/>
    <w:rsid w:val="749B1192"/>
    <w:rsid w:val="74FD0B86"/>
    <w:rsid w:val="77B2358A"/>
    <w:rsid w:val="7FDA5E0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tex3"/>
    <w:basedOn w:val="5"/>
    <w:qFormat/>
    <w:uiPriority w:val="0"/>
  </w:style>
  <w:style w:type="paragraph" w:customStyle="1" w:styleId="62">
    <w:name w:val="Conteúdo da tabela"/>
    <w:basedOn w:val="1"/>
    <w:qFormat/>
    <w:uiPriority w:val="0"/>
    <w:pPr>
      <w:widowControl w:val="0"/>
      <w:suppressLineNumbers/>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5172</Words>
  <Characters>28956</Characters>
  <Lines>241</Lines>
  <Paragraphs>68</Paragraphs>
  <TotalTime>7</TotalTime>
  <ScaleCrop>false</ScaleCrop>
  <LinksUpToDate>false</LinksUpToDate>
  <CharactersWithSpaces>33952</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2026-05-12T14:10:01Z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